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58" w:rsidRDefault="000D1D58" w:rsidP="000D1D58">
      <w:pPr>
        <w:outlineLvl w:val="0"/>
      </w:pPr>
      <w:bookmarkStart w:id="0" w:name="_GoBack"/>
      <w:bookmarkEnd w:id="0"/>
    </w:p>
    <w:p w:rsidR="000D1D58" w:rsidRDefault="000D1D58" w:rsidP="000D1D58">
      <w:pPr>
        <w:jc w:val="center"/>
        <w:outlineLvl w:val="0"/>
        <w:rPr>
          <w:b/>
          <w:sz w:val="28"/>
          <w:szCs w:val="28"/>
        </w:rPr>
      </w:pPr>
      <w:r>
        <w:rPr>
          <w:b/>
          <w:sz w:val="28"/>
          <w:szCs w:val="28"/>
        </w:rPr>
        <w:t>SAVIVALDYBĖS ĮMONĖ  „KOMPATA“</w:t>
      </w:r>
    </w:p>
    <w:p w:rsidR="000D1D58" w:rsidRDefault="000D1D58" w:rsidP="000D1D58"/>
    <w:p w:rsidR="000D1D58" w:rsidRDefault="000D1D58" w:rsidP="000D1D58">
      <w:pPr>
        <w:jc w:val="center"/>
        <w:outlineLvl w:val="0"/>
        <w:rPr>
          <w:b/>
          <w:sz w:val="28"/>
          <w:szCs w:val="28"/>
        </w:rPr>
      </w:pPr>
      <w:r>
        <w:rPr>
          <w:b/>
          <w:sz w:val="28"/>
          <w:szCs w:val="28"/>
        </w:rPr>
        <w:t>2016 METŲ VEIKLA</w:t>
      </w:r>
    </w:p>
    <w:p w:rsidR="000D1D58" w:rsidRDefault="000D1D58" w:rsidP="000D1D58">
      <w:pPr>
        <w:jc w:val="center"/>
        <w:outlineLvl w:val="0"/>
      </w:pPr>
    </w:p>
    <w:p w:rsidR="000D1D58" w:rsidRDefault="000D1D58" w:rsidP="000D1D58">
      <w:pPr>
        <w:spacing w:line="360" w:lineRule="auto"/>
        <w:ind w:firstLine="1276"/>
        <w:jc w:val="both"/>
      </w:pPr>
      <w:r>
        <w:t>Savivaldybės įmonė ,,Kompata“ (UAB „Kompata“) ūkinę veiklą vykdė vadovaudamasi įstatais, akcininkų, administracijos direktoriaus, valdybos ir direktoriaus priimtų nutarimų ir sprendimų pagrindu. Per metus įvyko 6 valdybos posėdžiai, kuriuose buvo sprendžiami aktualūs bendrovei klausimai, analizuojama finansinė veikla. 2016 m. gruodžio 16 d. LR juridinių asmenų registrų centre buvo užregistruota SĮ ,,Kompata“.</w:t>
      </w:r>
    </w:p>
    <w:p w:rsidR="000D1D58" w:rsidRDefault="000D1D58" w:rsidP="000D1D58">
      <w:pPr>
        <w:spacing w:line="360" w:lineRule="auto"/>
        <w:ind w:firstLine="1276"/>
        <w:jc w:val="both"/>
      </w:pPr>
      <w:r>
        <w:t>Aš, kaip įmonės direktorius pasirašiau 5486 siunčiamus dokumentus, išleidau 35 įsakymų personalo klausimais, buvo išsiųsti mano pasirašyti 545 raštai registruotais laiškais su pasiūlymais sudaryti komunalinių atliekų išvežimo sutartis. Per metus gauti 101 gyventojų prašymai dėl komunalinių atliekų išvežimo paslaugų sutarčių sąlygų pakeitimo ar jų nutraukimo.</w:t>
      </w:r>
    </w:p>
    <w:p w:rsidR="000D1D58" w:rsidRDefault="000D1D58" w:rsidP="000D1D58">
      <w:pPr>
        <w:spacing w:line="360" w:lineRule="auto"/>
        <w:ind w:firstLine="1260"/>
        <w:jc w:val="both"/>
      </w:pPr>
      <w:r>
        <w:t>2016 m. gruodžio 31 d. įmonėje dirbo 25 darbuotojai, 6</w:t>
      </w:r>
      <w:r>
        <w:rPr>
          <w:i/>
        </w:rPr>
        <w:t xml:space="preserve"> </w:t>
      </w:r>
      <w:r>
        <w:t xml:space="preserve">darbuotojai kėlė savo kvalifikaciją, 21 buvo skatinamas už papildomus darbo krūvius ir gerai atliktus darbus. </w:t>
      </w:r>
    </w:p>
    <w:p w:rsidR="000D1D58" w:rsidRDefault="000D1D58" w:rsidP="000D1D58">
      <w:pPr>
        <w:spacing w:line="360" w:lineRule="auto"/>
        <w:ind w:firstLine="1260"/>
        <w:jc w:val="both"/>
      </w:pPr>
      <w:r>
        <w:t>Per metus įmonė</w:t>
      </w:r>
      <w:r>
        <w:rPr>
          <w:color w:val="FF0000"/>
        </w:rPr>
        <w:t xml:space="preserve"> </w:t>
      </w:r>
      <w:r w:rsidR="0057632E">
        <w:t xml:space="preserve">vykdydama darbinę veiklą </w:t>
      </w:r>
      <w:r w:rsidRPr="0057632E">
        <w:t>uždirbo</w:t>
      </w:r>
      <w:r>
        <w:t xml:space="preserve"> 451 336 </w:t>
      </w:r>
      <w:proofErr w:type="spellStart"/>
      <w:r>
        <w:t>Eur</w:t>
      </w:r>
      <w:proofErr w:type="spellEnd"/>
      <w:r>
        <w:t>. pajamų</w:t>
      </w:r>
    </w:p>
    <w:p w:rsidR="000D1D58" w:rsidRDefault="000D1D58" w:rsidP="000D1D58">
      <w:pPr>
        <w:jc w:val="center"/>
        <w:rPr>
          <w:b/>
          <w:lang w:eastAsia="lt-LT"/>
        </w:rPr>
      </w:pPr>
      <w:r>
        <w:rPr>
          <w:lang w:eastAsia="lt-LT"/>
        </w:rPr>
        <w:t>Pajamų sudėtis</w:t>
      </w:r>
    </w:p>
    <w:tbl>
      <w:tblPr>
        <w:tblW w:w="6521" w:type="dxa"/>
        <w:tblInd w:w="1242" w:type="dxa"/>
        <w:tblLook w:val="04A0" w:firstRow="1" w:lastRow="0" w:firstColumn="1" w:lastColumn="0" w:noHBand="0" w:noVBand="1"/>
      </w:tblPr>
      <w:tblGrid>
        <w:gridCol w:w="2714"/>
        <w:gridCol w:w="1924"/>
        <w:gridCol w:w="1883"/>
      </w:tblGrid>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Komunalinių atliekų surinkimas, išvežimas ir tvarkymas</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385463</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lang w:val="en-US"/>
              </w:rPr>
            </w:pPr>
            <w:r>
              <w:rPr>
                <w:sz w:val="18"/>
                <w:szCs w:val="18"/>
              </w:rPr>
              <w:t>85,4</w:t>
            </w:r>
            <w:r>
              <w:rPr>
                <w:sz w:val="18"/>
                <w:szCs w:val="18"/>
                <w:lang w:val="ru-RU"/>
              </w:rPr>
              <w:t>%</w:t>
            </w:r>
          </w:p>
        </w:tc>
      </w:tr>
      <w:tr w:rsidR="000D1D58" w:rsidTr="000D1D58">
        <w:trPr>
          <w:trHeight w:val="207"/>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val="en-US"/>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Aplinkotvarkos darbų paslaugos</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42390</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9,4%</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Apšvietimo darbų paslaugos</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13714</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3,0%</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Žmogaus palaikų vežimo paslauga</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5594</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1,2%</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Komunalinių atliekų konteinerių pardavimas</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646</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0,1%</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18"/>
                <w:szCs w:val="18"/>
                <w:lang w:eastAsia="lt-LT"/>
              </w:rPr>
              <w:t>Kita veikla</w:t>
            </w:r>
          </w:p>
        </w:tc>
        <w:tc>
          <w:tcPr>
            <w:tcW w:w="1924"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3529</w:t>
            </w:r>
          </w:p>
        </w:tc>
        <w:tc>
          <w:tcPr>
            <w:tcW w:w="1883" w:type="dxa"/>
            <w:vMerge w:val="restart"/>
            <w:tcBorders>
              <w:top w:val="single" w:sz="4" w:space="0" w:color="auto"/>
              <w:left w:val="single" w:sz="4" w:space="0" w:color="auto"/>
              <w:bottom w:val="single" w:sz="4" w:space="0" w:color="000000"/>
              <w:right w:val="single" w:sz="4" w:space="0" w:color="000000"/>
            </w:tcBorders>
            <w:noWrap/>
          </w:tcPr>
          <w:p w:rsidR="000D1D58" w:rsidRDefault="000D1D58">
            <w:pPr>
              <w:jc w:val="center"/>
              <w:rPr>
                <w:sz w:val="18"/>
                <w:szCs w:val="18"/>
              </w:rPr>
            </w:pPr>
          </w:p>
          <w:p w:rsidR="000D1D58" w:rsidRDefault="000D1D58">
            <w:pPr>
              <w:jc w:val="center"/>
              <w:rPr>
                <w:sz w:val="18"/>
                <w:szCs w:val="18"/>
              </w:rPr>
            </w:pPr>
            <w:r>
              <w:rPr>
                <w:sz w:val="18"/>
                <w:szCs w:val="18"/>
              </w:rPr>
              <w:t>0,9%</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lang w:eastAsia="lt-LT"/>
              </w:rPr>
            </w:pPr>
            <w:r>
              <w:rPr>
                <w:b/>
                <w:sz w:val="18"/>
                <w:szCs w:val="18"/>
                <w:lang w:eastAsia="lt-LT"/>
              </w:rPr>
              <w:t>Iš viso:</w:t>
            </w:r>
          </w:p>
        </w:tc>
        <w:tc>
          <w:tcPr>
            <w:tcW w:w="1924"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rPr>
            </w:pPr>
            <w:r>
              <w:rPr>
                <w:b/>
                <w:sz w:val="18"/>
                <w:szCs w:val="18"/>
              </w:rPr>
              <w:t>451336</w:t>
            </w:r>
          </w:p>
        </w:tc>
        <w:tc>
          <w:tcPr>
            <w:tcW w:w="1883"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rPr>
            </w:pPr>
            <w:r>
              <w:rPr>
                <w:b/>
                <w:sz w:val="18"/>
                <w:szCs w:val="18"/>
              </w:rPr>
              <w:t>100,0%</w:t>
            </w:r>
          </w:p>
        </w:tc>
      </w:tr>
    </w:tbl>
    <w:p w:rsidR="000D1D58" w:rsidRDefault="000D1D58" w:rsidP="000D1D58">
      <w:pPr>
        <w:spacing w:line="360" w:lineRule="auto"/>
        <w:ind w:firstLine="1260"/>
        <w:jc w:val="both"/>
      </w:pPr>
      <w:r>
        <w:rPr>
          <w:noProof/>
          <w:lang w:eastAsia="lt-LT"/>
        </w:rPr>
        <w:drawing>
          <wp:anchor distT="0" distB="0" distL="114300" distR="114300" simplePos="0" relativeHeight="251656704" behindDoc="0" locked="0" layoutInCell="1" allowOverlap="1">
            <wp:simplePos x="0" y="0"/>
            <wp:positionH relativeFrom="column">
              <wp:posOffset>1218565</wp:posOffset>
            </wp:positionH>
            <wp:positionV relativeFrom="paragraph">
              <wp:posOffset>244475</wp:posOffset>
            </wp:positionV>
            <wp:extent cx="3203575" cy="2440305"/>
            <wp:effectExtent l="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2440305"/>
                    </a:xfrm>
                    <a:prstGeom prst="rect">
                      <a:avLst/>
                    </a:prstGeom>
                    <a:noFill/>
                  </pic:spPr>
                </pic:pic>
              </a:graphicData>
            </a:graphic>
            <wp14:sizeRelH relativeFrom="page">
              <wp14:pctWidth>0</wp14:pctWidth>
            </wp14:sizeRelH>
            <wp14:sizeRelV relativeFrom="page">
              <wp14:pctHeight>0</wp14:pctHeight>
            </wp14:sizeRelV>
          </wp:anchor>
        </w:drawing>
      </w: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ind w:firstLine="1260"/>
        <w:jc w:val="both"/>
      </w:pPr>
    </w:p>
    <w:p w:rsidR="000D1D58" w:rsidRDefault="000D1D58" w:rsidP="000D1D58">
      <w:pPr>
        <w:spacing w:line="360" w:lineRule="auto"/>
        <w:jc w:val="both"/>
      </w:pPr>
    </w:p>
    <w:p w:rsidR="000D1D58" w:rsidRDefault="000D1D58" w:rsidP="000D1D58">
      <w:pPr>
        <w:spacing w:line="276" w:lineRule="auto"/>
        <w:jc w:val="center"/>
        <w:rPr>
          <w:b/>
        </w:rPr>
      </w:pPr>
      <w:r>
        <w:rPr>
          <w:b/>
        </w:rPr>
        <w:lastRenderedPageBreak/>
        <w:t>Komunalinių atliekų surinkimas ir išvežimas</w:t>
      </w:r>
    </w:p>
    <w:p w:rsidR="000D1D58" w:rsidRDefault="000D1D58" w:rsidP="000D1D58">
      <w:pPr>
        <w:spacing w:line="360" w:lineRule="auto"/>
        <w:ind w:firstLine="1260"/>
        <w:jc w:val="both"/>
      </w:pPr>
      <w:r>
        <w:t xml:space="preserve">Komunalinių atliekų tvarkymo pajamos sudarė 85,4% nuo visų </w:t>
      </w:r>
      <w:r w:rsidR="0057632E">
        <w:t xml:space="preserve">gautų </w:t>
      </w:r>
      <w:r>
        <w:t>pajamų. Į sąvartyną per metus nuvežta 3003,74 t atliekų. Palyginus su praeitu laikotarpiu nuvežta 63,</w:t>
      </w:r>
      <w:r w:rsidR="0057632E">
        <w:t>66</w:t>
      </w:r>
      <w:r>
        <w:t xml:space="preserve"> t daugiau.</w:t>
      </w:r>
    </w:p>
    <w:p w:rsidR="000D1D58" w:rsidRDefault="000D1D58" w:rsidP="000D1D58">
      <w:pPr>
        <w:spacing w:line="360" w:lineRule="auto"/>
        <w:ind w:firstLine="1260"/>
        <w:jc w:val="both"/>
      </w:pPr>
      <w:r>
        <w:rPr>
          <w:bCs/>
        </w:rPr>
        <w:t xml:space="preserve">Tvarkėme pakuočių atliekas ir sėkmingai vykdėme sutartinius įsipareigojimus su VŠĮ „Žaliasis taškas“, VŠĮ „Pakuočių tvarkymo organizacija“. </w:t>
      </w:r>
      <w:r>
        <w:t>Per metus surinkome 133,21 t antrinių žaliavų. Palyginti su 2015 antrinių žaliavų surinkome 11,26 t. mažiau. Atskyrus netinkamas atliekas gauta 89,08 t. švarių antrinių žaliavų. Iš Ignalinos miesto rinkome organines ir stambiąsias atliekas. Antrinių žaliavų paruošimui išvežti įsigijome du presuojamus konteinerius.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37"/>
        <w:gridCol w:w="3060"/>
        <w:gridCol w:w="2942"/>
      </w:tblGrid>
      <w:tr w:rsidR="000D1D58" w:rsidTr="000D1D58">
        <w:tc>
          <w:tcPr>
            <w:tcW w:w="771"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proofErr w:type="spellStart"/>
            <w:r>
              <w:rPr>
                <w:sz w:val="20"/>
                <w:szCs w:val="20"/>
              </w:rPr>
              <w:t>Eil</w:t>
            </w:r>
            <w:proofErr w:type="spellEnd"/>
          </w:p>
          <w:p w:rsidR="000D1D58" w:rsidRDefault="000D1D58" w:rsidP="0057632E">
            <w:pPr>
              <w:rPr>
                <w:sz w:val="20"/>
                <w:szCs w:val="20"/>
              </w:rPr>
            </w:pPr>
            <w:r>
              <w:rPr>
                <w:sz w:val="20"/>
                <w:szCs w:val="20"/>
              </w:rPr>
              <w:t>Nr.</w:t>
            </w:r>
          </w:p>
        </w:tc>
        <w:tc>
          <w:tcPr>
            <w:tcW w:w="2937"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Pavadinimas</w:t>
            </w:r>
          </w:p>
        </w:tc>
        <w:tc>
          <w:tcPr>
            <w:tcW w:w="3060"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Surinkta (t)</w:t>
            </w:r>
          </w:p>
          <w:p w:rsidR="000D1D58" w:rsidRDefault="000D1D58">
            <w:pPr>
              <w:rPr>
                <w:sz w:val="20"/>
                <w:szCs w:val="20"/>
              </w:rPr>
            </w:pPr>
            <w:r>
              <w:rPr>
                <w:sz w:val="20"/>
                <w:szCs w:val="20"/>
              </w:rPr>
              <w:t>(nerūšiuota)</w:t>
            </w:r>
          </w:p>
        </w:tc>
        <w:tc>
          <w:tcPr>
            <w:tcW w:w="2942"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Išrūšiuota (t)</w:t>
            </w:r>
          </w:p>
        </w:tc>
      </w:tr>
      <w:tr w:rsidR="000D1D58" w:rsidTr="000D1D58">
        <w:tc>
          <w:tcPr>
            <w:tcW w:w="771"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1.</w:t>
            </w:r>
          </w:p>
        </w:tc>
        <w:tc>
          <w:tcPr>
            <w:tcW w:w="2937"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Stiklas</w:t>
            </w:r>
          </w:p>
        </w:tc>
        <w:tc>
          <w:tcPr>
            <w:tcW w:w="3060"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79,010</w:t>
            </w:r>
          </w:p>
        </w:tc>
        <w:tc>
          <w:tcPr>
            <w:tcW w:w="2942"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54,120</w:t>
            </w:r>
          </w:p>
        </w:tc>
      </w:tr>
      <w:tr w:rsidR="000D1D58" w:rsidTr="000D1D58">
        <w:tc>
          <w:tcPr>
            <w:tcW w:w="771"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2.</w:t>
            </w:r>
          </w:p>
        </w:tc>
        <w:tc>
          <w:tcPr>
            <w:tcW w:w="2937"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Plastikas</w:t>
            </w:r>
          </w:p>
        </w:tc>
        <w:tc>
          <w:tcPr>
            <w:tcW w:w="3060"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29,450</w:t>
            </w:r>
          </w:p>
        </w:tc>
        <w:tc>
          <w:tcPr>
            <w:tcW w:w="2942"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23,640</w:t>
            </w:r>
          </w:p>
        </w:tc>
      </w:tr>
      <w:tr w:rsidR="000D1D58" w:rsidTr="000D1D58">
        <w:tc>
          <w:tcPr>
            <w:tcW w:w="771"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3.</w:t>
            </w:r>
          </w:p>
        </w:tc>
        <w:tc>
          <w:tcPr>
            <w:tcW w:w="2937"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Popierius ir kartonas</w:t>
            </w:r>
          </w:p>
        </w:tc>
        <w:tc>
          <w:tcPr>
            <w:tcW w:w="3060"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24,750</w:t>
            </w:r>
          </w:p>
        </w:tc>
        <w:tc>
          <w:tcPr>
            <w:tcW w:w="2942"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11,320</w:t>
            </w:r>
          </w:p>
        </w:tc>
      </w:tr>
      <w:tr w:rsidR="000D1D58" w:rsidTr="000D1D58">
        <w:tc>
          <w:tcPr>
            <w:tcW w:w="771" w:type="dxa"/>
            <w:tcBorders>
              <w:top w:val="single" w:sz="4" w:space="0" w:color="auto"/>
              <w:left w:val="single" w:sz="4" w:space="0" w:color="auto"/>
              <w:bottom w:val="single" w:sz="4" w:space="0" w:color="auto"/>
              <w:right w:val="single" w:sz="4" w:space="0" w:color="auto"/>
            </w:tcBorders>
          </w:tcPr>
          <w:p w:rsidR="000D1D58" w:rsidRDefault="000D1D58">
            <w:pPr>
              <w:rPr>
                <w:sz w:val="20"/>
                <w:szCs w:val="20"/>
              </w:rPr>
            </w:pPr>
          </w:p>
        </w:tc>
        <w:tc>
          <w:tcPr>
            <w:tcW w:w="2937"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viso</w:t>
            </w:r>
          </w:p>
        </w:tc>
        <w:tc>
          <w:tcPr>
            <w:tcW w:w="3060"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133,21</w:t>
            </w:r>
          </w:p>
        </w:tc>
        <w:tc>
          <w:tcPr>
            <w:tcW w:w="2942" w:type="dxa"/>
            <w:tcBorders>
              <w:top w:val="single" w:sz="4" w:space="0" w:color="auto"/>
              <w:left w:val="single" w:sz="4" w:space="0" w:color="auto"/>
              <w:bottom w:val="single" w:sz="4" w:space="0" w:color="auto"/>
              <w:right w:val="single" w:sz="4" w:space="0" w:color="auto"/>
            </w:tcBorders>
            <w:hideMark/>
          </w:tcPr>
          <w:p w:rsidR="000D1D58" w:rsidRDefault="000D1D58">
            <w:pPr>
              <w:rPr>
                <w:sz w:val="20"/>
                <w:szCs w:val="20"/>
              </w:rPr>
            </w:pPr>
            <w:r>
              <w:rPr>
                <w:sz w:val="20"/>
                <w:szCs w:val="20"/>
              </w:rPr>
              <w:t>89,08</w:t>
            </w:r>
          </w:p>
        </w:tc>
      </w:tr>
    </w:tbl>
    <w:p w:rsidR="000D1D58" w:rsidRDefault="000D1D58" w:rsidP="000D1D58">
      <w:pPr>
        <w:rPr>
          <w:i/>
        </w:rPr>
      </w:pPr>
    </w:p>
    <w:p w:rsidR="000D1D58" w:rsidRDefault="000D1D58" w:rsidP="000D1D58">
      <w:pPr>
        <w:spacing w:line="360" w:lineRule="auto"/>
        <w:ind w:firstLine="1260"/>
        <w:jc w:val="both"/>
        <w:rPr>
          <w:i/>
        </w:rPr>
      </w:pPr>
      <w:r>
        <w:t xml:space="preserve">Toliau plėtėme komunalinių atliekų surinkimo paslaugą. Per metus pateikėme 545 daugiabučių ir individualių namų gyventojams pasiūlymus sudaryti komunalinių atliekų išvežimo paslaugos sutartis. </w:t>
      </w:r>
    </w:p>
    <w:p w:rsidR="000D1D58" w:rsidRDefault="000D1D58" w:rsidP="000D1D58">
      <w:pPr>
        <w:spacing w:line="360" w:lineRule="auto"/>
        <w:ind w:firstLine="1276"/>
        <w:jc w:val="both"/>
      </w:pPr>
      <w:r>
        <w:t xml:space="preserve">2016 m. pabaigai  turėjome 9742 komunalinių atliekų paslaugų teikimo sutartis. Su individualių valdų gyventojais esame pasirašę 4828 sutartis, atliekų išvežimo paslaugą teikiame 4626 daugiabučių namų gyventojams </w:t>
      </w:r>
      <w:r>
        <w:rPr>
          <w:i/>
        </w:rPr>
        <w:t xml:space="preserve"> </w:t>
      </w:r>
      <w:r>
        <w:t xml:space="preserve">ir 288 juridiniams asmenimis. Atliekas surenkame iš visų rajono miestų ir miestelių , bei daugumos kaimų ar vienkiemių, prie kurių galimas privažiavimas. Skaičiuojant, kad nuosavuose namuose gyvena vidutiniškai 2 gyventojai, o 2016 m. pabaigai rajone faktiškai gyveno 15213 gyventojų komunalinių atliekų išvežimo paslaugą teikiame 14282 arba 93,9 % Ignalinos rajono gyventojų. </w:t>
      </w:r>
    </w:p>
    <w:p w:rsidR="000D1D58" w:rsidRDefault="000D1D58" w:rsidP="000D1D58">
      <w:pPr>
        <w:spacing w:line="360" w:lineRule="auto"/>
        <w:ind w:firstLine="1296"/>
        <w:jc w:val="both"/>
      </w:pPr>
      <w:r>
        <w:rPr>
          <w:bCs/>
          <w:lang w:eastAsia="lt-LT"/>
        </w:rPr>
        <w:t xml:space="preserve">Per metus į regioninį sąvartyną nuvežėme </w:t>
      </w:r>
      <w:r>
        <w:t>63,66 t atliekų daugiau negu pernai. Gyventojai nuolat teikia prašymus dėl komunalinių atliekų išvežimo dažnumo mažinimo, laikino paslaugos teikimo sustabdymo, ar kitokių priežasčių, vis daugiau atskiriama antrinių žaliavų iš buitinių atliekų srauto. Nemažą dalį komunalinių atliekų gyventojai patys pristato į veikiančias organinių ir stambių, bei pavojingų atliekų aikšteles.</w:t>
      </w:r>
    </w:p>
    <w:p w:rsidR="000D1D58" w:rsidRDefault="000D1D58" w:rsidP="000D1D58">
      <w:pPr>
        <w:jc w:val="center"/>
      </w:pPr>
      <w:r>
        <w:t>Atliekų kiekio dinamika</w:t>
      </w:r>
    </w:p>
    <w:p w:rsidR="000D1D58" w:rsidRDefault="000D1D58" w:rsidP="000D1D58">
      <w:pPr>
        <w:jc w:val="center"/>
        <w:rPr>
          <w:i/>
        </w:rPr>
      </w:pPr>
      <w:r>
        <w:rPr>
          <w:noProof/>
          <w:lang w:eastAsia="lt-LT"/>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8890</wp:posOffset>
            </wp:positionV>
            <wp:extent cx="2340000" cy="2005462"/>
            <wp:effectExtent l="0" t="0" r="3175"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2005462"/>
                    </a:xfrm>
                    <a:prstGeom prst="rect">
                      <a:avLst/>
                    </a:prstGeom>
                    <a:noFill/>
                  </pic:spPr>
                </pic:pic>
              </a:graphicData>
            </a:graphic>
            <wp14:sizeRelH relativeFrom="page">
              <wp14:pctWidth>0</wp14:pctWidth>
            </wp14:sizeRelH>
            <wp14:sizeRelV relativeFrom="page">
              <wp14:pctHeight>0</wp14:pctHeight>
            </wp14:sizeRelV>
          </wp:anchor>
        </w:drawing>
      </w:r>
    </w:p>
    <w:p w:rsidR="000D1D58" w:rsidRDefault="000D1D58" w:rsidP="000D1D58">
      <w:pPr>
        <w:spacing w:line="360" w:lineRule="auto"/>
        <w:ind w:firstLine="1296"/>
        <w:jc w:val="both"/>
        <w:rPr>
          <w:b/>
          <w:i/>
        </w:rPr>
      </w:pPr>
    </w:p>
    <w:p w:rsidR="000D1D58" w:rsidRDefault="000D1D58" w:rsidP="000D1D58">
      <w:pPr>
        <w:pStyle w:val="Pagrindiniotekstotrauka2"/>
        <w:spacing w:line="360" w:lineRule="auto"/>
        <w:ind w:firstLine="0"/>
        <w:rPr>
          <w:i/>
        </w:rPr>
      </w:pPr>
    </w:p>
    <w:p w:rsidR="000D1D58" w:rsidRDefault="000D1D58" w:rsidP="000D1D58">
      <w:pPr>
        <w:pStyle w:val="Pagrindiniotekstotrauka2"/>
        <w:spacing w:line="360" w:lineRule="auto"/>
        <w:ind w:firstLine="0"/>
        <w:rPr>
          <w:i/>
        </w:rPr>
      </w:pPr>
    </w:p>
    <w:p w:rsidR="000D1D58" w:rsidRDefault="000D1D58" w:rsidP="000D1D58">
      <w:pPr>
        <w:pStyle w:val="Pagrindiniotekstotrauka2"/>
        <w:spacing w:line="360" w:lineRule="auto"/>
        <w:ind w:firstLine="0"/>
        <w:rPr>
          <w:i/>
        </w:rPr>
      </w:pPr>
    </w:p>
    <w:p w:rsidR="000D1D58" w:rsidRDefault="000D1D58" w:rsidP="000D1D58">
      <w:pPr>
        <w:pStyle w:val="Pagrindiniotekstotrauka2"/>
        <w:spacing w:line="360" w:lineRule="auto"/>
        <w:ind w:firstLine="0"/>
      </w:pPr>
    </w:p>
    <w:p w:rsidR="000D1D58" w:rsidRDefault="000D1D58" w:rsidP="000D1D58">
      <w:pPr>
        <w:pStyle w:val="Pagrindiniotekstotrauka2"/>
        <w:spacing w:line="360" w:lineRule="auto"/>
        <w:ind w:firstLine="0"/>
        <w:jc w:val="center"/>
        <w:rPr>
          <w:b/>
        </w:rPr>
      </w:pPr>
      <w:r>
        <w:rPr>
          <w:b/>
        </w:rPr>
        <w:lastRenderedPageBreak/>
        <w:t>Kitos pajamos</w:t>
      </w:r>
    </w:p>
    <w:p w:rsidR="000D1D58" w:rsidRDefault="000D1D58" w:rsidP="000D1D58">
      <w:pPr>
        <w:spacing w:line="360" w:lineRule="auto"/>
        <w:ind w:firstLine="1260"/>
        <w:jc w:val="both"/>
        <w:rPr>
          <w:bCs/>
        </w:rPr>
      </w:pPr>
      <w:r>
        <w:rPr>
          <w:bCs/>
        </w:rPr>
        <w:t>Aplinkotvarkos darbų pajamos</w:t>
      </w:r>
      <w:r>
        <w:t xml:space="preserve"> buvo 38 765 </w:t>
      </w:r>
      <w:proofErr w:type="spellStart"/>
      <w:r>
        <w:t>Eur</w:t>
      </w:r>
      <w:proofErr w:type="spellEnd"/>
      <w:r>
        <w:t xml:space="preserve">. arba </w:t>
      </w:r>
      <w:bookmarkStart w:id="1" w:name="OLE_LINK6"/>
      <w:bookmarkStart w:id="2" w:name="OLE_LINK3"/>
      <w:r>
        <w:t>8,5%</w:t>
      </w:r>
      <w:bookmarkEnd w:id="1"/>
      <w:bookmarkEnd w:id="2"/>
      <w:r>
        <w:t xml:space="preserve"> nuo</w:t>
      </w:r>
      <w:r>
        <w:rPr>
          <w:i/>
        </w:rPr>
        <w:t xml:space="preserve"> </w:t>
      </w:r>
      <w:r>
        <w:t>visų pajamų. Ignalinos miestui</w:t>
      </w:r>
      <w:r>
        <w:rPr>
          <w:bCs/>
        </w:rPr>
        <w:t xml:space="preserve"> ir kitoms seniūnijoms tvarkėme gatvių apšvietimą uždirbta 3,6 </w:t>
      </w:r>
      <w:r>
        <w:t>% pajamų.</w:t>
      </w:r>
      <w:r>
        <w:rPr>
          <w:bCs/>
        </w:rPr>
        <w:t xml:space="preserve"> Žiemos laikotarpiu – valėme ir barstėme Ignalinos miesto gatves. Vežėme žmogaus palaikus, tai sudarė 1,5</w:t>
      </w:r>
      <w:r>
        <w:t>% pajamų</w:t>
      </w:r>
      <w:r>
        <w:rPr>
          <w:bCs/>
        </w:rPr>
        <w:t xml:space="preserve">. Nuomojome laidotuvių namus. </w:t>
      </w:r>
    </w:p>
    <w:p w:rsidR="000D1D58" w:rsidRDefault="0057632E" w:rsidP="000D1D58">
      <w:pPr>
        <w:spacing w:line="360" w:lineRule="auto"/>
        <w:ind w:firstLine="1260"/>
        <w:jc w:val="both"/>
        <w:rPr>
          <w:bCs/>
        </w:rPr>
      </w:pPr>
      <w:r>
        <w:rPr>
          <w:bCs/>
        </w:rPr>
        <w:t xml:space="preserve">Gaudami </w:t>
      </w:r>
      <w:r w:rsidR="000D1D58">
        <w:rPr>
          <w:bCs/>
        </w:rPr>
        <w:t>pajamas, turėjome ir sąnaudų.</w:t>
      </w:r>
    </w:p>
    <w:p w:rsidR="000D1D58" w:rsidRDefault="000D1D58" w:rsidP="000D1D58">
      <w:pPr>
        <w:jc w:val="center"/>
        <w:rPr>
          <w:lang w:eastAsia="lt-LT"/>
        </w:rPr>
      </w:pPr>
      <w:r>
        <w:rPr>
          <w:lang w:eastAsia="lt-LT"/>
        </w:rPr>
        <w:t>Sąnaudų sudėtis</w:t>
      </w:r>
    </w:p>
    <w:p w:rsidR="000D1D58" w:rsidRDefault="000D1D58" w:rsidP="000D1D58">
      <w:pPr>
        <w:jc w:val="center"/>
        <w:rPr>
          <w:lang w:eastAsia="lt-LT"/>
        </w:rPr>
      </w:pPr>
    </w:p>
    <w:tbl>
      <w:tblPr>
        <w:tblW w:w="6521" w:type="dxa"/>
        <w:tblInd w:w="1242" w:type="dxa"/>
        <w:tblLook w:val="04A0" w:firstRow="1" w:lastRow="0" w:firstColumn="1" w:lastColumn="0" w:noHBand="0" w:noVBand="1"/>
      </w:tblPr>
      <w:tblGrid>
        <w:gridCol w:w="2714"/>
        <w:gridCol w:w="1924"/>
        <w:gridCol w:w="1883"/>
      </w:tblGrid>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Komunalinių atliekų surinkimas, išvežimas ir tvarkymas</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364500</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lang w:val="en-US"/>
              </w:rPr>
            </w:pPr>
            <w:r>
              <w:rPr>
                <w:sz w:val="18"/>
                <w:szCs w:val="18"/>
              </w:rPr>
              <w:t>81,8</w:t>
            </w:r>
            <w:r>
              <w:rPr>
                <w:sz w:val="18"/>
                <w:szCs w:val="18"/>
                <w:lang w:val="ru-RU"/>
              </w:rPr>
              <w:t>%</w:t>
            </w:r>
          </w:p>
        </w:tc>
      </w:tr>
      <w:tr w:rsidR="000D1D58" w:rsidTr="000D1D58">
        <w:trPr>
          <w:trHeight w:val="207"/>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val="en-US"/>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Aplinkotvarkos darbų paslaugos</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52392</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11,8%</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Apšvietimo darbų paslaugos</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18356</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4,1%</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Žmogaus palaikų vežimo paslauga</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5298</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1,2%</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20"/>
                <w:szCs w:val="20"/>
              </w:rPr>
              <w:t>Komunalinių atliekų konteinerių pardavimas</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812</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0,2%</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vMerge w:val="restart"/>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sz w:val="18"/>
                <w:szCs w:val="18"/>
                <w:lang w:eastAsia="lt-LT"/>
              </w:rPr>
            </w:pPr>
            <w:r>
              <w:rPr>
                <w:sz w:val="18"/>
                <w:szCs w:val="18"/>
                <w:lang w:eastAsia="lt-LT"/>
              </w:rPr>
              <w:t>Kita veikla</w:t>
            </w:r>
          </w:p>
        </w:tc>
        <w:tc>
          <w:tcPr>
            <w:tcW w:w="1924"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4027</w:t>
            </w:r>
          </w:p>
        </w:tc>
        <w:tc>
          <w:tcPr>
            <w:tcW w:w="1883" w:type="dxa"/>
            <w:vMerge w:val="restart"/>
            <w:tcBorders>
              <w:top w:val="single" w:sz="4" w:space="0" w:color="auto"/>
              <w:left w:val="single" w:sz="4" w:space="0" w:color="auto"/>
              <w:bottom w:val="single" w:sz="4" w:space="0" w:color="000000"/>
              <w:right w:val="single" w:sz="4" w:space="0" w:color="000000"/>
            </w:tcBorders>
            <w:noWrap/>
            <w:hideMark/>
          </w:tcPr>
          <w:p w:rsidR="000D1D58" w:rsidRDefault="000D1D58">
            <w:pPr>
              <w:jc w:val="center"/>
              <w:rPr>
                <w:sz w:val="18"/>
                <w:szCs w:val="18"/>
              </w:rPr>
            </w:pPr>
            <w:r>
              <w:rPr>
                <w:sz w:val="18"/>
                <w:szCs w:val="18"/>
              </w:rPr>
              <w:t>0,9%</w:t>
            </w:r>
          </w:p>
        </w:tc>
      </w:tr>
      <w:tr w:rsidR="000D1D58" w:rsidTr="000D1D58">
        <w:trPr>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lang w:eastAsia="lt-LT"/>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D1D58" w:rsidRDefault="000D1D58">
            <w:pPr>
              <w:rPr>
                <w:sz w:val="18"/>
                <w:szCs w:val="18"/>
              </w:rPr>
            </w:pPr>
          </w:p>
        </w:tc>
      </w:tr>
      <w:tr w:rsidR="000D1D58" w:rsidTr="000D1D58">
        <w:trPr>
          <w:trHeight w:val="255"/>
        </w:trPr>
        <w:tc>
          <w:tcPr>
            <w:tcW w:w="2714"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lang w:eastAsia="lt-LT"/>
              </w:rPr>
            </w:pPr>
            <w:r>
              <w:rPr>
                <w:b/>
                <w:sz w:val="18"/>
                <w:szCs w:val="18"/>
                <w:lang w:eastAsia="lt-LT"/>
              </w:rPr>
              <w:t>Iš viso:</w:t>
            </w:r>
          </w:p>
        </w:tc>
        <w:tc>
          <w:tcPr>
            <w:tcW w:w="1924"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rPr>
            </w:pPr>
            <w:r>
              <w:rPr>
                <w:b/>
                <w:sz w:val="18"/>
                <w:szCs w:val="18"/>
              </w:rPr>
              <w:t>445385</w:t>
            </w:r>
          </w:p>
        </w:tc>
        <w:tc>
          <w:tcPr>
            <w:tcW w:w="1883" w:type="dxa"/>
            <w:tcBorders>
              <w:top w:val="single" w:sz="4" w:space="0" w:color="auto"/>
              <w:left w:val="single" w:sz="4" w:space="0" w:color="auto"/>
              <w:bottom w:val="single" w:sz="4" w:space="0" w:color="000000"/>
              <w:right w:val="single" w:sz="4" w:space="0" w:color="000000"/>
            </w:tcBorders>
            <w:noWrap/>
            <w:vAlign w:val="bottom"/>
            <w:hideMark/>
          </w:tcPr>
          <w:p w:rsidR="000D1D58" w:rsidRDefault="000D1D58">
            <w:pPr>
              <w:jc w:val="center"/>
              <w:rPr>
                <w:b/>
                <w:sz w:val="18"/>
                <w:szCs w:val="18"/>
              </w:rPr>
            </w:pPr>
            <w:r>
              <w:rPr>
                <w:b/>
                <w:sz w:val="18"/>
                <w:szCs w:val="18"/>
              </w:rPr>
              <w:t>100,0%</w:t>
            </w:r>
          </w:p>
        </w:tc>
      </w:tr>
    </w:tbl>
    <w:p w:rsidR="000D1D58" w:rsidRDefault="000D1D58" w:rsidP="000D1D58">
      <w:r>
        <w:rPr>
          <w:noProof/>
          <w:lang w:eastAsia="lt-LT"/>
        </w:rPr>
        <w:drawing>
          <wp:anchor distT="0" distB="0" distL="114300" distR="114300" simplePos="0" relativeHeight="251658752" behindDoc="0" locked="0" layoutInCell="1" allowOverlap="1">
            <wp:simplePos x="0" y="0"/>
            <wp:positionH relativeFrom="column">
              <wp:posOffset>1306195</wp:posOffset>
            </wp:positionH>
            <wp:positionV relativeFrom="paragraph">
              <wp:posOffset>107950</wp:posOffset>
            </wp:positionV>
            <wp:extent cx="3307715" cy="2520315"/>
            <wp:effectExtent l="0" t="0" r="698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715" cy="2520315"/>
                    </a:xfrm>
                    <a:prstGeom prst="rect">
                      <a:avLst/>
                    </a:prstGeom>
                    <a:noFill/>
                  </pic:spPr>
                </pic:pic>
              </a:graphicData>
            </a:graphic>
            <wp14:sizeRelH relativeFrom="page">
              <wp14:pctWidth>0</wp14:pctWidth>
            </wp14:sizeRelH>
            <wp14:sizeRelV relativeFrom="page">
              <wp14:pctHeight>0</wp14:pctHeight>
            </wp14:sizeRelV>
          </wp:anchor>
        </w:drawing>
      </w:r>
    </w:p>
    <w:p w:rsidR="000D1D58" w:rsidRDefault="000D1D58" w:rsidP="000D1D58"/>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spacing w:line="360" w:lineRule="auto"/>
      </w:pPr>
    </w:p>
    <w:p w:rsidR="000D1D58" w:rsidRDefault="000D1D58" w:rsidP="000D1D58">
      <w:pPr>
        <w:rPr>
          <w:b/>
        </w:rPr>
      </w:pPr>
    </w:p>
    <w:p w:rsidR="000D1D58" w:rsidRDefault="000D1D58" w:rsidP="000D1D58">
      <w:pPr>
        <w:jc w:val="center"/>
        <w:rPr>
          <w:b/>
        </w:rPr>
      </w:pPr>
      <w:r>
        <w:rPr>
          <w:b/>
        </w:rPr>
        <w:t>VEIKLOS REZULTATAS</w:t>
      </w:r>
    </w:p>
    <w:p w:rsidR="000D1D58" w:rsidRDefault="000D1D58" w:rsidP="000D1D58">
      <w:pPr>
        <w:jc w:val="center"/>
        <w:rPr>
          <w:b/>
        </w:rPr>
      </w:pPr>
    </w:p>
    <w:p w:rsidR="000D1D58" w:rsidRDefault="000D1D58" w:rsidP="000D1D58">
      <w:pPr>
        <w:spacing w:after="200" w:line="360" w:lineRule="auto"/>
        <w:ind w:firstLine="720"/>
        <w:jc w:val="both"/>
      </w:pPr>
      <w:r>
        <w:t>Įvertinus įmonės</w:t>
      </w:r>
      <w:r>
        <w:rPr>
          <w:color w:val="FF0000"/>
        </w:rPr>
        <w:t xml:space="preserve"> </w:t>
      </w:r>
      <w:r>
        <w:t xml:space="preserve">uždirbtas pajamas (451 336 </w:t>
      </w:r>
      <w:proofErr w:type="spellStart"/>
      <w:r>
        <w:t>Eur</w:t>
      </w:r>
      <w:proofErr w:type="spellEnd"/>
      <w:r>
        <w:t xml:space="preserve">) ir patirtas sąnaudas (445 385 </w:t>
      </w:r>
      <w:proofErr w:type="spellStart"/>
      <w:r>
        <w:t>Eur</w:t>
      </w:r>
      <w:proofErr w:type="spellEnd"/>
      <w:r>
        <w:t xml:space="preserve">) ataskaitinis finansinių metų rezultatas –5 951 </w:t>
      </w:r>
      <w:proofErr w:type="spellStart"/>
      <w:r>
        <w:t>Eur</w:t>
      </w:r>
      <w:proofErr w:type="spellEnd"/>
      <w:r>
        <w:t xml:space="preserve"> pelno, </w:t>
      </w:r>
      <w:r>
        <w:rPr>
          <w:rFonts w:eastAsia="Times New Roman"/>
        </w:rPr>
        <w:t>atėmus ataskaitinio laikotarpio pelno mokestį</w:t>
      </w:r>
      <w:r>
        <w:rPr>
          <w:rFonts w:ascii="Calibri" w:eastAsia="Times New Roman" w:hAnsi="Calibri"/>
          <w:sz w:val="22"/>
          <w:szCs w:val="22"/>
        </w:rPr>
        <w:t xml:space="preserve"> </w:t>
      </w:r>
      <w:r>
        <w:t xml:space="preserve">–575 </w:t>
      </w:r>
      <w:proofErr w:type="spellStart"/>
      <w:r>
        <w:t>Eur</w:t>
      </w:r>
      <w:proofErr w:type="spellEnd"/>
      <w:r>
        <w:t xml:space="preserve">, ataskaitinių finansinių metų rezultatas – 5 376 </w:t>
      </w:r>
      <w:proofErr w:type="spellStart"/>
      <w:r>
        <w:t>Eur</w:t>
      </w:r>
      <w:proofErr w:type="spellEnd"/>
      <w:r>
        <w:t xml:space="preserve"> pelno. Įmonės</w:t>
      </w:r>
      <w:r>
        <w:rPr>
          <w:color w:val="FF0000"/>
        </w:rPr>
        <w:t xml:space="preserve"> </w:t>
      </w:r>
      <w:r>
        <w:t xml:space="preserve">bendrasis veiklos rezultatas nuo veiklos pradžios yra 5 789 </w:t>
      </w:r>
      <w:proofErr w:type="spellStart"/>
      <w:r>
        <w:t>Eur</w:t>
      </w:r>
      <w:proofErr w:type="spellEnd"/>
      <w:r>
        <w:t xml:space="preserve"> pelno.</w:t>
      </w:r>
      <w:bookmarkStart w:id="3" w:name="OLE_LINK1"/>
      <w:bookmarkStart w:id="4" w:name="OLE_LINK2"/>
    </w:p>
    <w:p w:rsidR="000D1D58" w:rsidRDefault="000D1D58" w:rsidP="000D1D58">
      <w:pPr>
        <w:spacing w:line="360" w:lineRule="auto"/>
        <w:jc w:val="center"/>
        <w:rPr>
          <w:b/>
        </w:rPr>
      </w:pPr>
    </w:p>
    <w:p w:rsidR="000D1D58" w:rsidRDefault="000D1D58" w:rsidP="000D1D58">
      <w:pPr>
        <w:spacing w:line="360" w:lineRule="auto"/>
        <w:jc w:val="center"/>
        <w:rPr>
          <w:b/>
        </w:rPr>
      </w:pPr>
    </w:p>
    <w:p w:rsidR="000D1D58" w:rsidRDefault="000D1D58" w:rsidP="000D1D58">
      <w:pPr>
        <w:spacing w:line="360" w:lineRule="auto"/>
        <w:jc w:val="center"/>
        <w:rPr>
          <w:b/>
        </w:rPr>
      </w:pPr>
      <w:r>
        <w:rPr>
          <w:b/>
        </w:rPr>
        <w:lastRenderedPageBreak/>
        <w:t>ĮMONĖS VEIKLOS PLANAI</w:t>
      </w:r>
    </w:p>
    <w:p w:rsidR="000D1D58" w:rsidRDefault="000D1D58" w:rsidP="000D1D58">
      <w:pPr>
        <w:spacing w:line="360" w:lineRule="auto"/>
        <w:jc w:val="center"/>
        <w:rPr>
          <w:b/>
        </w:rPr>
      </w:pPr>
    </w:p>
    <w:p w:rsidR="000D1D58" w:rsidRDefault="000D1D58" w:rsidP="000D1D58">
      <w:pPr>
        <w:spacing w:line="360" w:lineRule="auto"/>
        <w:ind w:firstLine="1320"/>
        <w:jc w:val="both"/>
      </w:pPr>
      <w:r>
        <w:t>Siekiant svarbiausių bendrovės strateginių tikslų – gerinti paslaugų kokybę , apimtis ir dirbti pelningai 2017 metams planuojama:</w:t>
      </w:r>
    </w:p>
    <w:p w:rsidR="000D1D58" w:rsidRDefault="000D1D58" w:rsidP="000D1D58">
      <w:pPr>
        <w:numPr>
          <w:ilvl w:val="0"/>
          <w:numId w:val="1"/>
        </w:numPr>
        <w:spacing w:line="360" w:lineRule="auto"/>
        <w:ind w:firstLine="1341"/>
        <w:jc w:val="both"/>
      </w:pPr>
      <w:r>
        <w:t xml:space="preserve">Toliau vykdyti bendrovei iškeltas užduotis, kurios numatytos Ignalinos rajono savivaldybės atliekų tvarkymo 2014 – 2020 m. plano projekte ir tęsti pagrindinės veiklos – atliekų tvarkymo sutarties pasirašytos tarp užsakovo- Ignalinos rajono savivaldybės administracijos ir vykdytojo UAB „Kompata“ (SĮ „Kompata“) vykdymą. </w:t>
      </w:r>
    </w:p>
    <w:p w:rsidR="000D1D58" w:rsidRDefault="000D1D58" w:rsidP="000D1D58">
      <w:pPr>
        <w:numPr>
          <w:ilvl w:val="0"/>
          <w:numId w:val="1"/>
        </w:numPr>
        <w:spacing w:line="360" w:lineRule="auto"/>
        <w:ind w:firstLine="1341"/>
        <w:jc w:val="both"/>
      </w:pPr>
      <w:r>
        <w:t>Per metus užbaigti rajono atliekų turėtojų registrą ir pasirašyti naujas dvinarės įmokos už atliekų išvežimą sutartis.</w:t>
      </w:r>
    </w:p>
    <w:p w:rsidR="000D1D58" w:rsidRDefault="000D1D58" w:rsidP="000D1D58">
      <w:pPr>
        <w:numPr>
          <w:ilvl w:val="0"/>
          <w:numId w:val="1"/>
        </w:numPr>
        <w:spacing w:line="360" w:lineRule="auto"/>
        <w:ind w:firstLine="1341"/>
        <w:jc w:val="both"/>
      </w:pPr>
      <w:r>
        <w:t>Diegti antrinių žaliavų rūšiavimo konteinerius gyventojams, gyventiems individualiuose namuose.</w:t>
      </w:r>
    </w:p>
    <w:p w:rsidR="000D1D58" w:rsidRDefault="000D1D58" w:rsidP="000D1D58">
      <w:pPr>
        <w:spacing w:line="360" w:lineRule="auto"/>
        <w:ind w:firstLine="1276"/>
        <w:jc w:val="both"/>
      </w:pPr>
      <w:r>
        <w:t>Vykdant kitas įmonės įstatuose numatytas funkcijas planuojame :</w:t>
      </w:r>
    </w:p>
    <w:p w:rsidR="000D1D58" w:rsidRDefault="0057632E" w:rsidP="000D1D58">
      <w:pPr>
        <w:numPr>
          <w:ilvl w:val="0"/>
          <w:numId w:val="2"/>
        </w:numPr>
        <w:spacing w:line="360" w:lineRule="auto"/>
        <w:ind w:firstLine="981"/>
        <w:jc w:val="both"/>
      </w:pPr>
      <w:r>
        <w:t>Pagal galimybes s</w:t>
      </w:r>
      <w:r w:rsidR="000D1D58">
        <w:t>tiprinti bendrovės materialinę – techninę bazę.</w:t>
      </w:r>
    </w:p>
    <w:p w:rsidR="000D1D58" w:rsidRDefault="000D1D58" w:rsidP="000D1D58">
      <w:pPr>
        <w:numPr>
          <w:ilvl w:val="0"/>
          <w:numId w:val="2"/>
        </w:numPr>
        <w:spacing w:line="360" w:lineRule="auto"/>
        <w:ind w:firstLine="981"/>
        <w:jc w:val="both"/>
      </w:pPr>
      <w:r>
        <w:t>Toliau teikti transporto ir mechanizmų nuomos paslaugas.</w:t>
      </w:r>
    </w:p>
    <w:p w:rsidR="000D1D58" w:rsidRDefault="000D1D58" w:rsidP="000D1D58">
      <w:pPr>
        <w:numPr>
          <w:ilvl w:val="0"/>
          <w:numId w:val="2"/>
        </w:numPr>
        <w:spacing w:line="360" w:lineRule="auto"/>
        <w:ind w:firstLine="981"/>
        <w:jc w:val="both"/>
      </w:pPr>
      <w:r>
        <w:t>Sudaryti sąlyg</w:t>
      </w:r>
      <w:r w:rsidR="0057632E">
        <w:t>a</w:t>
      </w:r>
      <w:r>
        <w:t>s kelti įmonės darbuotojų kvalifikaciją ir įvairiapusiškai skatinti įmonės darbuotojus,</w:t>
      </w:r>
      <w:r>
        <w:rPr>
          <w:rFonts w:ascii="Verdana" w:hAnsi="Verdana"/>
          <w:sz w:val="12"/>
          <w:szCs w:val="12"/>
        </w:rPr>
        <w:t xml:space="preserve"> </w:t>
      </w:r>
      <w:r>
        <w:t>sudaryti palankias sąlygas darbuotojų motyvacijai atsirasti ir pasireikšti.</w:t>
      </w:r>
    </w:p>
    <w:p w:rsidR="000D1D58" w:rsidRDefault="000D1D58" w:rsidP="000D1D58">
      <w:pPr>
        <w:spacing w:line="360" w:lineRule="auto"/>
        <w:ind w:firstLine="1276"/>
        <w:jc w:val="both"/>
      </w:pPr>
      <w:r>
        <w:t xml:space="preserve">Tęsdami savo veiklą, esame pasirengę toliau gerinti įmonės komunalinių atliekų tvarkymo  ir ekonominius rodiklius. </w:t>
      </w:r>
    </w:p>
    <w:p w:rsidR="000D1D58" w:rsidRDefault="000D1D58" w:rsidP="000D1D58">
      <w:pPr>
        <w:spacing w:line="360" w:lineRule="auto"/>
        <w:ind w:firstLine="1276"/>
        <w:jc w:val="both"/>
      </w:pPr>
      <w:r>
        <w:t>Manome, kad ataskaitinis 2017 metų laikotarpis įmonei bus pelningas.</w:t>
      </w:r>
    </w:p>
    <w:p w:rsidR="000D1D58" w:rsidRDefault="000D1D58" w:rsidP="000D1D58">
      <w:pPr>
        <w:spacing w:line="360" w:lineRule="auto"/>
        <w:jc w:val="both"/>
      </w:pPr>
    </w:p>
    <w:bookmarkEnd w:id="3"/>
    <w:bookmarkEnd w:id="4"/>
    <w:p w:rsidR="000D1D58" w:rsidRDefault="000D1D58" w:rsidP="000D1D58">
      <w:pPr>
        <w:spacing w:line="360" w:lineRule="auto"/>
        <w:jc w:val="both"/>
      </w:pPr>
    </w:p>
    <w:p w:rsidR="000D1D58" w:rsidRDefault="000D1D58" w:rsidP="000D1D58">
      <w:pPr>
        <w:spacing w:line="360" w:lineRule="auto"/>
        <w:jc w:val="both"/>
      </w:pPr>
    </w:p>
    <w:p w:rsidR="000D1D58" w:rsidRDefault="000D1D58" w:rsidP="000D1D58">
      <w:pPr>
        <w:spacing w:line="360" w:lineRule="auto"/>
        <w:jc w:val="both"/>
      </w:pPr>
    </w:p>
    <w:p w:rsidR="000D1D58" w:rsidRDefault="000D1D58" w:rsidP="000D1D58">
      <w:pPr>
        <w:jc w:val="both"/>
      </w:pPr>
      <w:r>
        <w:t xml:space="preserve">L. e. direktoriaus pareigas </w:t>
      </w:r>
      <w:r>
        <w:tab/>
      </w:r>
      <w:r>
        <w:tab/>
      </w:r>
      <w:r>
        <w:tab/>
      </w:r>
      <w:r>
        <w:tab/>
        <w:t>Vytautas Čepulėnas</w:t>
      </w:r>
    </w:p>
    <w:p w:rsidR="000D1D58" w:rsidRDefault="000D1D58" w:rsidP="000D1D58"/>
    <w:p w:rsidR="000D1D58" w:rsidRDefault="000D1D58" w:rsidP="000D1D58"/>
    <w:p w:rsidR="00DA451D" w:rsidRDefault="00DA451D"/>
    <w:sectPr w:rsidR="00DA451D" w:rsidSect="00A131F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6DF5"/>
    <w:multiLevelType w:val="hybridMultilevel"/>
    <w:tmpl w:val="D1B6B368"/>
    <w:lvl w:ilvl="0" w:tplc="296C797A">
      <w:start w:val="1"/>
      <w:numFmt w:val="decimal"/>
      <w:lvlText w:val="%1."/>
      <w:lvlJc w:val="left"/>
      <w:pPr>
        <w:tabs>
          <w:tab w:val="num" w:pos="360"/>
        </w:tabs>
        <w:ind w:left="360" w:hanging="360"/>
      </w:pPr>
      <w:rPr>
        <w:rFonts w:cs="Times New Roman"/>
        <w:color w:val="auto"/>
        <w:sz w:val="24"/>
        <w:szCs w:val="24"/>
      </w:rPr>
    </w:lvl>
    <w:lvl w:ilvl="1" w:tplc="0427000B">
      <w:start w:val="1"/>
      <w:numFmt w:val="bullet"/>
      <w:lvlText w:val=""/>
      <w:lvlJc w:val="left"/>
      <w:pPr>
        <w:tabs>
          <w:tab w:val="num" w:pos="1440"/>
        </w:tabs>
        <w:ind w:left="1440" w:hanging="360"/>
      </w:pPr>
      <w:rPr>
        <w:rFonts w:ascii="Wingdings" w:hAnsi="Wingdings" w:hint="default"/>
      </w:rPr>
    </w:lvl>
    <w:lvl w:ilvl="2" w:tplc="0427001B">
      <w:start w:val="1"/>
      <w:numFmt w:val="lowerRoman"/>
      <w:lvlText w:val="%3."/>
      <w:lvlJc w:val="right"/>
      <w:pPr>
        <w:tabs>
          <w:tab w:val="num" w:pos="2340"/>
        </w:tabs>
        <w:ind w:left="234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7413543F"/>
    <w:multiLevelType w:val="hybridMultilevel"/>
    <w:tmpl w:val="80802BAA"/>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8"/>
    <w:rsid w:val="000D1D58"/>
    <w:rsid w:val="001A56D3"/>
    <w:rsid w:val="00532F4F"/>
    <w:rsid w:val="0057632E"/>
    <w:rsid w:val="00A131F5"/>
    <w:rsid w:val="00B65AD2"/>
    <w:rsid w:val="00DA45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D58"/>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semiHidden/>
    <w:unhideWhenUsed/>
    <w:rsid w:val="000D1D58"/>
    <w:pPr>
      <w:ind w:firstLine="1260"/>
      <w:jc w:val="both"/>
    </w:pPr>
  </w:style>
  <w:style w:type="character" w:customStyle="1" w:styleId="Pagrindiniotekstotrauka2Diagrama">
    <w:name w:val="Pagrindinio teksto įtrauka 2 Diagrama"/>
    <w:basedOn w:val="Numatytasispastraiposriftas"/>
    <w:link w:val="Pagrindiniotekstotrauka2"/>
    <w:semiHidden/>
    <w:rsid w:val="000D1D5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D58"/>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semiHidden/>
    <w:unhideWhenUsed/>
    <w:rsid w:val="000D1D58"/>
    <w:pPr>
      <w:ind w:firstLine="1260"/>
      <w:jc w:val="both"/>
    </w:pPr>
  </w:style>
  <w:style w:type="character" w:customStyle="1" w:styleId="Pagrindiniotekstotrauka2Diagrama">
    <w:name w:val="Pagrindinio teksto įtrauka 2 Diagrama"/>
    <w:basedOn w:val="Numatytasispastraiposriftas"/>
    <w:link w:val="Pagrindiniotekstotrauka2"/>
    <w:semiHidden/>
    <w:rsid w:val="000D1D5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3737</Words>
  <Characters>2131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Kompata</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2017-04-10T11:27:00Z</dcterms:created>
  <dcterms:modified xsi:type="dcterms:W3CDTF">2017-04-10T11:27:00Z</dcterms:modified>
</cp:coreProperties>
</file>